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F5" w:rsidRPr="00D035F5" w:rsidRDefault="00D035F5" w:rsidP="00D035F5">
      <w:pPr>
        <w:spacing w:after="0" w:line="288" w:lineRule="auto"/>
        <w:jc w:val="center"/>
        <w:outlineLvl w:val="0"/>
        <w:rPr>
          <w:rFonts w:eastAsia="Times New Roman" w:cs="Times New Roman"/>
          <w:b/>
          <w:bCs/>
          <w:color w:val="026896"/>
          <w:kern w:val="36"/>
          <w:sz w:val="36"/>
          <w:szCs w:val="36"/>
          <w:u w:val="single"/>
        </w:rPr>
      </w:pPr>
      <w:bookmarkStart w:id="0" w:name="_GoBack"/>
      <w:r w:rsidRPr="00D035F5">
        <w:rPr>
          <w:rFonts w:eastAsia="Times New Roman" w:cs="Times New Roman"/>
          <w:b/>
          <w:bCs/>
          <w:color w:val="026896"/>
          <w:kern w:val="36"/>
          <w:sz w:val="36"/>
          <w:szCs w:val="36"/>
          <w:u w:val="single"/>
        </w:rPr>
        <w:t>Điều kiện nghỉ hưu trước tuổi theo Nghị định 178 là gì?</w:t>
      </w:r>
    </w:p>
    <w:p w:rsidR="00D035F5" w:rsidRPr="00D035F5" w:rsidRDefault="00D035F5" w:rsidP="00D035F5">
      <w:pPr>
        <w:spacing w:after="0" w:line="288" w:lineRule="auto"/>
        <w:jc w:val="center"/>
        <w:outlineLvl w:val="0"/>
        <w:rPr>
          <w:rFonts w:eastAsia="Times New Roman" w:cs="Times New Roman"/>
          <w:b/>
          <w:bCs/>
          <w:color w:val="026896"/>
          <w:kern w:val="36"/>
          <w:szCs w:val="28"/>
        </w:rPr>
      </w:pPr>
    </w:p>
    <w:p w:rsidR="00D035F5" w:rsidRPr="00D035F5" w:rsidRDefault="00D035F5" w:rsidP="00D035F5">
      <w:pPr>
        <w:spacing w:after="0" w:line="288" w:lineRule="auto"/>
        <w:ind w:firstLine="720"/>
        <w:jc w:val="both"/>
        <w:rPr>
          <w:rFonts w:eastAsia="Times New Roman" w:cs="Times New Roman"/>
          <w:i/>
          <w:szCs w:val="28"/>
        </w:rPr>
      </w:pPr>
      <w:r w:rsidRPr="00D035F5">
        <w:rPr>
          <w:rFonts w:eastAsia="Times New Roman" w:cs="Times New Roman"/>
          <w:i/>
          <w:szCs w:val="28"/>
        </w:rPr>
        <w:t>Theo quy định tại Điều 7 </w:t>
      </w:r>
      <w:hyperlink r:id="rId6" w:tgtFrame="_blank" w:history="1">
        <w:r w:rsidRPr="00D035F5">
          <w:rPr>
            <w:rFonts w:eastAsia="Times New Roman" w:cs="Times New Roman"/>
            <w:i/>
            <w:color w:val="0E70A4"/>
            <w:szCs w:val="28"/>
            <w:u w:val="single"/>
          </w:rPr>
          <w:t>Nghị định 178/2024/NĐ-CP</w:t>
        </w:r>
      </w:hyperlink>
      <w:r w:rsidRPr="00D035F5">
        <w:rPr>
          <w:rFonts w:eastAsia="Times New Roman" w:cs="Times New Roman"/>
          <w:i/>
          <w:szCs w:val="28"/>
        </w:rPr>
        <w:t>, điều kiện để cán bộ, công chức, viên chức và người lao động nghỉ hưu trước tuổi được quy định như sau:</w:t>
      </w:r>
    </w:p>
    <w:p w:rsidR="00D035F5" w:rsidRPr="00D035F5" w:rsidRDefault="00D035F5" w:rsidP="00D035F5">
      <w:pPr>
        <w:spacing w:after="0" w:line="288" w:lineRule="auto"/>
        <w:ind w:firstLine="720"/>
        <w:jc w:val="both"/>
        <w:rPr>
          <w:rFonts w:eastAsia="Times New Roman" w:cs="Times New Roman"/>
          <w:szCs w:val="28"/>
        </w:rPr>
      </w:pPr>
      <w:r w:rsidRPr="00D035F5">
        <w:rPr>
          <w:rFonts w:eastAsia="Times New Roman" w:cs="Times New Roman"/>
          <w:b/>
          <w:bCs/>
          <w:szCs w:val="28"/>
        </w:rPr>
        <w:t>a. Điều kiện về đối tượng được hưởng</w:t>
      </w:r>
    </w:p>
    <w:p w:rsidR="00D035F5" w:rsidRPr="00D035F5" w:rsidRDefault="00D035F5" w:rsidP="00D035F5">
      <w:pPr>
        <w:spacing w:after="0" w:line="288" w:lineRule="auto"/>
        <w:ind w:firstLine="720"/>
        <w:jc w:val="both"/>
        <w:rPr>
          <w:rFonts w:eastAsia="Times New Roman" w:cs="Times New Roman"/>
          <w:szCs w:val="28"/>
        </w:rPr>
      </w:pPr>
      <w:r w:rsidRPr="00D035F5">
        <w:rPr>
          <w:rFonts w:eastAsia="Times New Roman" w:cs="Times New Roman"/>
          <w:szCs w:val="28"/>
        </w:rPr>
        <w:t>Nghị định 178 nghỉ hưu trước tuổi áp dụng cho cán bộ, công chức, viên chức, người làm việc theo chế độ hợp đồng lao động trong các cơ quan, tổ chức, đơn vị và lực lượng vũ trang do sắp xếp tổ chức bộ máy, đơn vị hành chính, cụ thể là đối tượng sau:</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Cán bộ, công chức, viên chức lãnh đạo, quản lý và công chức, viên chức;</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Cán bộ, công chức cấp xã;</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Người làm việc theo chế độ hợp đồng lao động theo quy định của pháp luật lao động trước thời điểm ngày 15 tháng 01 năm 2019 và người làm việc theo chế độ hợp đồng lao động được áp dụng chính sách như công chức (sau đây viết tắt là người lao động);</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Sĩ quan, quân nhân chuyên nghiệp, công nhân và viên chức quốc phòng thuộc Quân đội nhân dân Việt Nam;</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Sĩ quan, hạ sĩ quan hưởng lương, công nhân công an và lao động hợp đồng hưởng lương từ ngân sách nhà nước thuộc Công an nhân dân;</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Người làm việc trong tổ chức cơ yếu.</w:t>
      </w:r>
    </w:p>
    <w:p w:rsidR="00D035F5" w:rsidRPr="00D035F5" w:rsidRDefault="00D035F5" w:rsidP="00D035F5">
      <w:pPr>
        <w:spacing w:after="0" w:line="288" w:lineRule="auto"/>
        <w:ind w:firstLine="720"/>
        <w:jc w:val="both"/>
        <w:rPr>
          <w:rFonts w:eastAsia="Times New Roman" w:cs="Times New Roman"/>
          <w:szCs w:val="28"/>
        </w:rPr>
      </w:pPr>
      <w:r w:rsidRPr="00D035F5">
        <w:rPr>
          <w:rFonts w:eastAsia="Times New Roman" w:cs="Times New Roman"/>
          <w:b/>
          <w:bCs/>
          <w:szCs w:val="28"/>
        </w:rPr>
        <w:t>b. Điều kiện về tuổi đời</w:t>
      </w:r>
    </w:p>
    <w:p w:rsidR="00D035F5" w:rsidRPr="00D035F5" w:rsidRDefault="00D035F5" w:rsidP="00D035F5">
      <w:pPr>
        <w:spacing w:after="0" w:line="288" w:lineRule="auto"/>
        <w:ind w:firstLine="720"/>
        <w:jc w:val="both"/>
        <w:rPr>
          <w:rFonts w:eastAsia="Times New Roman" w:cs="Times New Roman"/>
          <w:szCs w:val="28"/>
        </w:rPr>
      </w:pPr>
      <w:r w:rsidRPr="00D035F5">
        <w:rPr>
          <w:rFonts w:eastAsia="Times New Roman" w:cs="Times New Roman"/>
          <w:szCs w:val="28"/>
        </w:rPr>
        <w:t>- Có tuổi đời còn từ đủ 02 năm đến đủ 05 năm so với tuổi nghỉ hưu theo quy định tại Phụ lục I và Phụ lục II ban hành kèm theo </w:t>
      </w:r>
      <w:hyperlink r:id="rId7" w:tgtFrame="_blank" w:history="1">
        <w:r w:rsidRPr="00D035F5">
          <w:rPr>
            <w:rFonts w:eastAsia="Times New Roman" w:cs="Times New Roman"/>
            <w:color w:val="0E70A4"/>
            <w:szCs w:val="28"/>
            <w:u w:val="single"/>
          </w:rPr>
          <w:t>Nghị định 135/2020/NĐ-CP</w:t>
        </w:r>
      </w:hyperlink>
      <w:r w:rsidRPr="00D035F5">
        <w:rPr>
          <w:rFonts w:eastAsia="Times New Roman" w:cs="Times New Roman"/>
          <w:szCs w:val="28"/>
        </w:rPr>
        <w:t> hoặc;</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Có tuổi đời từ trên 05 năm đến đủ 10 năm so với tuổi nghỉ hưu theo quy định tại Phụ lục I và Phụ lục II ban hành kèm theo </w:t>
      </w:r>
      <w:hyperlink r:id="rId8" w:tgtFrame="_blank" w:history="1">
        <w:r w:rsidRPr="00D035F5">
          <w:rPr>
            <w:rFonts w:eastAsia="Times New Roman" w:cs="Times New Roman"/>
            <w:color w:val="0E70A4"/>
            <w:szCs w:val="28"/>
            <w:u w:val="single"/>
          </w:rPr>
          <w:t>Nghị định 135/2020/NĐ-CP</w:t>
        </w:r>
      </w:hyperlink>
      <w:r w:rsidRPr="00D035F5">
        <w:rPr>
          <w:rFonts w:eastAsia="Times New Roman" w:cs="Times New Roman"/>
          <w:szCs w:val="28"/>
        </w:rPr>
        <w:t>.</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Đối với những người có đủ 15 năm trở lên làm nghề, công việc nặng nhọc, độc hại, nguy hiểm hoặc làm việc ở vùng có điều kiện kinh tế - xã hội đặc biệt khó khăn, yêu cầu về tuổi đời có thể được điều chỉnh từ dưới 02 năm hoặc từ đủ 02 năm đến đủ 05 năm đến tuổi nghỉ hưu quy định tại Phụ lục II ban hành kèm theo </w:t>
      </w:r>
      <w:hyperlink r:id="rId9" w:tgtFrame="_blank" w:history="1">
        <w:r w:rsidRPr="00D035F5">
          <w:rPr>
            <w:rFonts w:eastAsia="Times New Roman" w:cs="Times New Roman"/>
            <w:color w:val="0E70A4"/>
            <w:szCs w:val="28"/>
            <w:u w:val="single"/>
          </w:rPr>
          <w:t>Nghị định 135/2020/NĐ-CP</w:t>
        </w:r>
      </w:hyperlink>
      <w:r w:rsidRPr="00D035F5">
        <w:rPr>
          <w:rFonts w:eastAsia="Times New Roman" w:cs="Times New Roman"/>
          <w:szCs w:val="28"/>
        </w:rPr>
        <w:t>.</w:t>
      </w:r>
    </w:p>
    <w:p w:rsidR="00D035F5" w:rsidRPr="00D035F5" w:rsidRDefault="00D035F5" w:rsidP="00D035F5">
      <w:pPr>
        <w:spacing w:after="0" w:line="288" w:lineRule="auto"/>
        <w:ind w:firstLine="720"/>
        <w:jc w:val="both"/>
        <w:rPr>
          <w:rFonts w:eastAsia="Times New Roman" w:cs="Times New Roman"/>
          <w:szCs w:val="28"/>
        </w:rPr>
      </w:pPr>
      <w:r w:rsidRPr="00D035F5">
        <w:rPr>
          <w:rFonts w:eastAsia="Times New Roman" w:cs="Times New Roman"/>
          <w:b/>
          <w:bCs/>
          <w:szCs w:val="28"/>
        </w:rPr>
        <w:t>c. Điều kiện về thời gian đóng bảo hiểm xã hội</w:t>
      </w:r>
    </w:p>
    <w:p w:rsidR="00D035F5" w:rsidRPr="00D035F5" w:rsidRDefault="00D035F5" w:rsidP="00D035F5">
      <w:pPr>
        <w:spacing w:after="0" w:line="288" w:lineRule="auto"/>
        <w:ind w:firstLine="720"/>
        <w:jc w:val="both"/>
        <w:rPr>
          <w:rFonts w:eastAsia="Times New Roman" w:cs="Times New Roman"/>
          <w:szCs w:val="28"/>
        </w:rPr>
      </w:pPr>
      <w:r w:rsidRPr="00D035F5">
        <w:rPr>
          <w:rFonts w:eastAsia="Times New Roman" w:cs="Times New Roman"/>
          <w:szCs w:val="28"/>
        </w:rPr>
        <w:lastRenderedPageBreak/>
        <w:t>Đã có đủ thời gian đóng bảo hiểm xã hội bắt buộc để được hưởng lương hưu theo quy định của pháp luật về bảo hiểm xã hội.</w:t>
      </w:r>
    </w:p>
    <w:p w:rsidR="00D035F5" w:rsidRPr="00D035F5" w:rsidRDefault="00D035F5" w:rsidP="00D035F5">
      <w:pPr>
        <w:spacing w:after="0" w:line="288" w:lineRule="auto"/>
        <w:ind w:firstLine="720"/>
        <w:jc w:val="both"/>
        <w:outlineLvl w:val="1"/>
        <w:rPr>
          <w:rFonts w:eastAsia="Times New Roman" w:cs="Times New Roman"/>
          <w:szCs w:val="28"/>
        </w:rPr>
      </w:pPr>
      <w:r w:rsidRPr="00D035F5">
        <w:rPr>
          <w:rFonts w:eastAsia="Times New Roman" w:cs="Times New Roman"/>
          <w:b/>
          <w:bCs/>
          <w:szCs w:val="28"/>
        </w:rPr>
        <w:t>Nghỉ hưu trước tuổi theo Nghị định 178 được hưởng những chính sách gì?</w:t>
      </w:r>
    </w:p>
    <w:p w:rsidR="00D035F5" w:rsidRPr="00D035F5" w:rsidRDefault="00D035F5" w:rsidP="00D035F5">
      <w:pPr>
        <w:spacing w:after="0" w:line="288" w:lineRule="auto"/>
        <w:ind w:firstLine="720"/>
        <w:jc w:val="both"/>
        <w:rPr>
          <w:rFonts w:eastAsia="Times New Roman" w:cs="Times New Roman"/>
          <w:szCs w:val="28"/>
        </w:rPr>
      </w:pPr>
      <w:r w:rsidRPr="00D035F5">
        <w:rPr>
          <w:rFonts w:eastAsia="Times New Roman" w:cs="Times New Roman"/>
          <w:szCs w:val="28"/>
        </w:rPr>
        <w:t>Theo quy định tại Điều 4 </w:t>
      </w:r>
      <w:hyperlink r:id="rId10" w:tgtFrame="_blank" w:history="1">
        <w:r w:rsidRPr="00D035F5">
          <w:rPr>
            <w:rFonts w:eastAsia="Times New Roman" w:cs="Times New Roman"/>
            <w:color w:val="0E70A4"/>
            <w:szCs w:val="28"/>
            <w:u w:val="single"/>
          </w:rPr>
          <w:t>Thông tư 1/2025/TT-BNV</w:t>
        </w:r>
      </w:hyperlink>
      <w:r w:rsidRPr="00D035F5">
        <w:rPr>
          <w:rFonts w:eastAsia="Times New Roman" w:cs="Times New Roman"/>
          <w:szCs w:val="28"/>
        </w:rPr>
        <w:t>, đối tượng đủ điều kiện và được cơ quan có thẩm quyền quyết định cho nghỉ hưu trước tuổi thì được hưởng ngay lương hưu theo quy định của pháp luật về bảo hiểm xã hội mà không bị trừ tỷ lệ lương hưu do việc nghỉ hưu trước tuổi.</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Đồng thời được hưởng trợ cấp hưu trí một lần quy định tại khoản 1 Điều 7 </w:t>
      </w:r>
      <w:hyperlink r:id="rId11" w:tgtFrame="_blank" w:history="1">
        <w:r w:rsidRPr="00D035F5">
          <w:rPr>
            <w:rFonts w:eastAsia="Times New Roman" w:cs="Times New Roman"/>
            <w:color w:val="0E70A4"/>
            <w:szCs w:val="28"/>
            <w:u w:val="single"/>
          </w:rPr>
          <w:t>Nghị định 178/2024/NĐ-CP</w:t>
        </w:r>
      </w:hyperlink>
      <w:r w:rsidRPr="00D035F5">
        <w:rPr>
          <w:rFonts w:eastAsia="Times New Roman" w:cs="Times New Roman"/>
          <w:szCs w:val="28"/>
        </w:rPr>
        <w:t>; trợ cấp theo số năm nghỉ sớm và trợ cấp theo thời gian công tác có đóng bảo hiểm xã hội bắt buộc quy định tại khoản 2 Điều 7 </w:t>
      </w:r>
      <w:hyperlink r:id="rId12" w:tgtFrame="_blank" w:history="1">
        <w:r w:rsidRPr="00D035F5">
          <w:rPr>
            <w:rFonts w:eastAsia="Times New Roman" w:cs="Times New Roman"/>
            <w:color w:val="0E70A4"/>
            <w:szCs w:val="28"/>
            <w:u w:val="single"/>
          </w:rPr>
          <w:t>Nghị định 178/2024/NĐ-CP</w:t>
        </w:r>
      </w:hyperlink>
      <w:r w:rsidRPr="00D035F5">
        <w:rPr>
          <w:rFonts w:eastAsia="Times New Roman" w:cs="Times New Roman"/>
          <w:szCs w:val="28"/>
        </w:rPr>
        <w:t>, cụ thể như sau:</w:t>
      </w:r>
    </w:p>
    <w:p w:rsidR="00D035F5" w:rsidRPr="00D035F5" w:rsidRDefault="00D035F5" w:rsidP="00D035F5">
      <w:pPr>
        <w:spacing w:after="0" w:line="288" w:lineRule="auto"/>
        <w:ind w:firstLine="720"/>
        <w:jc w:val="both"/>
        <w:rPr>
          <w:rFonts w:eastAsia="Times New Roman" w:cs="Times New Roman"/>
          <w:szCs w:val="28"/>
        </w:rPr>
      </w:pPr>
      <w:r w:rsidRPr="00D035F5">
        <w:rPr>
          <w:rFonts w:eastAsia="Times New Roman" w:cs="Times New Roman"/>
          <w:b/>
          <w:bCs/>
          <w:i/>
          <w:iCs/>
          <w:szCs w:val="28"/>
        </w:rPr>
        <w:t>Đối với trường hợp có tuổi đời còn từ đủ 02 năm đến đủ 05 năm đến tuổi nghỉ hưu quy định tại điểm a và điểm c khoản 2 Điều 7 </w:t>
      </w:r>
      <w:hyperlink r:id="rId13" w:tgtFrame="_blank" w:history="1">
        <w:r w:rsidRPr="00D035F5">
          <w:rPr>
            <w:rFonts w:eastAsia="Times New Roman" w:cs="Times New Roman"/>
            <w:b/>
            <w:bCs/>
            <w:i/>
            <w:iCs/>
            <w:color w:val="0E70A4"/>
            <w:szCs w:val="28"/>
            <w:u w:val="single"/>
          </w:rPr>
          <w:t>Nghị định 178/2024/NĐ-CP</w:t>
        </w:r>
      </w:hyperlink>
      <w:r w:rsidRPr="00D035F5">
        <w:rPr>
          <w:rFonts w:eastAsia="Times New Roman" w:cs="Times New Roman"/>
          <w:szCs w:val="28"/>
        </w:rPr>
        <w:t>, được hưởng 03 khoản trợ cấp sau:</w:t>
      </w:r>
    </w:p>
    <w:p w:rsidR="00D035F5" w:rsidRPr="00D035F5" w:rsidRDefault="00D035F5" w:rsidP="00D035F5">
      <w:pPr>
        <w:spacing w:after="0" w:line="288" w:lineRule="auto"/>
        <w:ind w:firstLine="720"/>
        <w:jc w:val="both"/>
        <w:rPr>
          <w:rFonts w:eastAsia="Times New Roman" w:cs="Times New Roman"/>
          <w:szCs w:val="28"/>
        </w:rPr>
      </w:pPr>
      <w:r w:rsidRPr="00D035F5">
        <w:rPr>
          <w:rFonts w:eastAsia="Times New Roman" w:cs="Times New Roman"/>
          <w:szCs w:val="28"/>
        </w:rPr>
        <w:t>- Trợ cấp hưu trí một lần cho số tháng nghỉ sớm, được xác định dựa trên người nghỉ hưu trong thời hạn 12 tháng đầu tiên hoặc người nghỉ hưu từ tháng thứ 13 trở đi.</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Trợ cấp cho số năm nghỉ hưu sớm: Cứ mỗi năm nghỉ sớm (đủ 12 tháng) được hưởng 05 tháng tiền lương hiện hưởng.</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Trợ cấp theo thời gian công tác có đóng bảo hiểm xã hội bắt buộc: Đối với 20 năm đầu công tác có đóng bảo hiểm xã hội bắt buộc được trợ cấp 5 tháng tiền lương hiện hưởng; đối với số năm còn lại (từ năm thứ 21 trở đi), mỗi năm được trợ cấp bằng 0,5 tháng tiền lương hiện hưởng.</w:t>
      </w:r>
    </w:p>
    <w:p w:rsidR="00D035F5" w:rsidRPr="00D035F5" w:rsidRDefault="00D035F5" w:rsidP="00D035F5">
      <w:pPr>
        <w:spacing w:after="0" w:line="288" w:lineRule="auto"/>
        <w:ind w:firstLine="720"/>
        <w:jc w:val="both"/>
        <w:rPr>
          <w:rFonts w:eastAsia="Times New Roman" w:cs="Times New Roman"/>
          <w:szCs w:val="28"/>
        </w:rPr>
      </w:pPr>
      <w:r w:rsidRPr="00D035F5">
        <w:rPr>
          <w:rFonts w:eastAsia="Times New Roman" w:cs="Times New Roman"/>
          <w:b/>
          <w:bCs/>
          <w:i/>
          <w:iCs/>
          <w:szCs w:val="28"/>
        </w:rPr>
        <w:t>Đối với trường hợp có tuổi đời còn trên 05 năm đến đủ 10 năm đến tuổi nghỉ hưu quy định tại điểm b khoản 2 Điều 7 </w:t>
      </w:r>
      <w:hyperlink r:id="rId14" w:tgtFrame="_blank" w:history="1">
        <w:r w:rsidRPr="00D035F5">
          <w:rPr>
            <w:rFonts w:eastAsia="Times New Roman" w:cs="Times New Roman"/>
            <w:b/>
            <w:bCs/>
            <w:i/>
            <w:iCs/>
            <w:color w:val="0E70A4"/>
            <w:szCs w:val="28"/>
            <w:u w:val="single"/>
          </w:rPr>
          <w:t>Nghị định 178/2024/NĐ-CP</w:t>
        </w:r>
      </w:hyperlink>
      <w:r w:rsidRPr="00D035F5">
        <w:rPr>
          <w:rFonts w:eastAsia="Times New Roman" w:cs="Times New Roman"/>
          <w:szCs w:val="28"/>
        </w:rPr>
        <w:t>, được hưởng 03 khoản trợ cấp sau:</w:t>
      </w:r>
    </w:p>
    <w:p w:rsidR="00D035F5" w:rsidRPr="00D035F5" w:rsidRDefault="00D035F5" w:rsidP="00D035F5">
      <w:pPr>
        <w:spacing w:after="0" w:line="288" w:lineRule="auto"/>
        <w:ind w:firstLine="720"/>
        <w:jc w:val="both"/>
        <w:rPr>
          <w:rFonts w:eastAsia="Times New Roman" w:cs="Times New Roman"/>
          <w:szCs w:val="28"/>
        </w:rPr>
      </w:pPr>
      <w:r w:rsidRPr="00D035F5">
        <w:rPr>
          <w:rFonts w:eastAsia="Times New Roman" w:cs="Times New Roman"/>
          <w:szCs w:val="28"/>
        </w:rPr>
        <w:t>- Trợ cấp hưu trí một lần cho số tháng nghỉ sớm, được xác định dựa trên người nghỉ hưu trong thời hạn 12 tháng đầu tiên hoặc người nghỉ hưu từ tháng thứ 13 trở đi.</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Trợ cấp cho số năm nghỉ sớm: Cứ mỗi năm nghỉ sớm (đủ 12 tháng) được hưởng 04 tháng tiền lương hiện hưởng.</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lastRenderedPageBreak/>
        <w:t>- Trợ cấp theo thời gian công tác có đóng bảo hiểm xã hội bắt buộc: Đối với 20 năm đầu công tác có đóng bảo hiểm xã hội bắt buộc được trợ cấp 5 tháng tiền lương hiện hưởng; đối với số năm còn lại (từ năm thứ 21 trở đi), mỗi năm được trợ cấp bằng 0,5 tháng tiền lương hiện hưởng.</w:t>
      </w:r>
    </w:p>
    <w:p w:rsidR="00D035F5" w:rsidRPr="00D035F5" w:rsidRDefault="00D035F5" w:rsidP="00D035F5">
      <w:pPr>
        <w:spacing w:after="0" w:line="288" w:lineRule="auto"/>
        <w:ind w:firstLine="720"/>
        <w:jc w:val="both"/>
        <w:rPr>
          <w:rFonts w:eastAsia="Times New Roman" w:cs="Times New Roman"/>
          <w:szCs w:val="28"/>
        </w:rPr>
      </w:pPr>
      <w:r w:rsidRPr="00D035F5">
        <w:rPr>
          <w:rFonts w:eastAsia="Times New Roman" w:cs="Times New Roman"/>
          <w:szCs w:val="28"/>
        </w:rPr>
        <w:t>- </w:t>
      </w:r>
      <w:r w:rsidRPr="00D035F5">
        <w:rPr>
          <w:rFonts w:eastAsia="Times New Roman" w:cs="Times New Roman"/>
          <w:b/>
          <w:bCs/>
          <w:i/>
          <w:iCs/>
          <w:szCs w:val="28"/>
        </w:rPr>
        <w:t>Trường hợp có tuổi đời còn dưới 02 năm đến tuổi nghỉ hưu quy định tại điểm d và điểm đ khoản 2 Điều 7 </w:t>
      </w:r>
      <w:hyperlink r:id="rId15" w:tgtFrame="_blank" w:history="1">
        <w:r w:rsidRPr="00D035F5">
          <w:rPr>
            <w:rFonts w:eastAsia="Times New Roman" w:cs="Times New Roman"/>
            <w:b/>
            <w:bCs/>
            <w:i/>
            <w:iCs/>
            <w:color w:val="0E70A4"/>
            <w:szCs w:val="28"/>
            <w:u w:val="single"/>
          </w:rPr>
          <w:t>Nghị định 178/2024/NĐ-CP</w:t>
        </w:r>
      </w:hyperlink>
      <w:r w:rsidRPr="00D035F5">
        <w:rPr>
          <w:rFonts w:eastAsia="Times New Roman" w:cs="Times New Roman"/>
          <w:szCs w:val="28"/>
        </w:rPr>
        <w:t> thì được hưởng trợ cấp hưu trí một lần cho số tháng nghỉ sớm như cách tính cho người nghỉ hưu trong thời hạn 12 tháng đầu tiên quy định tại điểm a khoản 1 Điều 4 </w:t>
      </w:r>
      <w:hyperlink r:id="rId16" w:tgtFrame="_blank" w:history="1">
        <w:r w:rsidRPr="00D035F5">
          <w:rPr>
            <w:rFonts w:eastAsia="Times New Roman" w:cs="Times New Roman"/>
            <w:color w:val="0E70A4"/>
            <w:szCs w:val="28"/>
            <w:u w:val="single"/>
          </w:rPr>
          <w:t>Thông tư 1/2025/TT-BNV</w:t>
        </w:r>
      </w:hyperlink>
      <w:r w:rsidRPr="00D035F5">
        <w:rPr>
          <w:rFonts w:eastAsia="Times New Roman" w:cs="Times New Roman"/>
          <w:szCs w:val="28"/>
        </w:rPr>
        <w:t>.</w:t>
      </w:r>
    </w:p>
    <w:p w:rsidR="00D035F5" w:rsidRPr="00D035F5" w:rsidRDefault="00D035F5" w:rsidP="00D035F5">
      <w:pPr>
        <w:spacing w:after="0" w:line="288" w:lineRule="auto"/>
        <w:ind w:firstLine="720"/>
        <w:jc w:val="both"/>
        <w:outlineLvl w:val="1"/>
        <w:rPr>
          <w:rFonts w:eastAsia="Times New Roman" w:cs="Times New Roman"/>
          <w:szCs w:val="28"/>
        </w:rPr>
      </w:pPr>
      <w:r w:rsidRPr="00D035F5">
        <w:rPr>
          <w:rFonts w:eastAsia="Times New Roman" w:cs="Times New Roman"/>
          <w:b/>
          <w:bCs/>
          <w:szCs w:val="28"/>
        </w:rPr>
        <w:t>Nghị định 178 nghỉ hưu trước tuổi quy định tiêu chí đánh giá để giải quyết chính sách, chế độ nghỉ hưu trước tuổi như thế nào?</w:t>
      </w:r>
    </w:p>
    <w:p w:rsidR="00D035F5" w:rsidRPr="00D035F5" w:rsidRDefault="00D035F5" w:rsidP="00D035F5">
      <w:pPr>
        <w:spacing w:after="0" w:line="288" w:lineRule="auto"/>
        <w:ind w:firstLine="720"/>
        <w:jc w:val="both"/>
        <w:rPr>
          <w:rFonts w:eastAsia="Times New Roman" w:cs="Times New Roman"/>
          <w:szCs w:val="28"/>
        </w:rPr>
      </w:pPr>
      <w:r w:rsidRPr="00D035F5">
        <w:rPr>
          <w:rFonts w:eastAsia="Times New Roman" w:cs="Times New Roman"/>
          <w:szCs w:val="28"/>
        </w:rPr>
        <w:t>Căn cứ theo Điều 6 </w:t>
      </w:r>
      <w:hyperlink r:id="rId17" w:tgtFrame="_blank" w:history="1">
        <w:r w:rsidRPr="00D035F5">
          <w:rPr>
            <w:rFonts w:eastAsia="Times New Roman" w:cs="Times New Roman"/>
            <w:color w:val="0E70A4"/>
            <w:szCs w:val="28"/>
            <w:u w:val="single"/>
          </w:rPr>
          <w:t>Nghị định 178/2024/NĐ-CP</w:t>
        </w:r>
      </w:hyperlink>
      <w:r w:rsidRPr="00D035F5">
        <w:rPr>
          <w:rFonts w:eastAsia="Times New Roman" w:cs="Times New Roman"/>
          <w:szCs w:val="28"/>
        </w:rPr>
        <w:t> quy định tiêu chí đánh giá để giải quyết chính sách, chế độ nghỉ hưu trước tuổi theo Nghị định 178, cụ thể như sau:</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Tập thể cấp ủy, chính quyền và người đứng đầu từng cơ quan, tổ chức, đơn vị phải thực hiện rà soát, đánh giá đối với tất cả CBCCVC thuộc phạm vi quản lý dựa trên kết quả thực hiện nhiệm vụ trong 03 năm gần nhất theo các tiêu chí sau:</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Tiêu chí đánh giá về phẩm chất đạo đức, tinh thần trách nhiệm, ý thức kỷ luật, kỷ cương trong thực thi nhiệm vụ, công vụ của cán bộ, công chức, viên chức và người lao động.</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Tiêu chí đánh giá về năng lực chuyên môn, nghiệp vụ; khả năng đáp ứng yêu cầu về tiến độ, thời gian, chất lượng thực thi nhiệm vụ, công vụ thường xuyên và đột xuất.</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Tiêu chí đánh giá về kết quả, sản phẩm công việc gắn với chức năng, nhiệm vụ của cơ quan, tổ chức, đơn vị mà cán bộ, công chức, viên chức đã đạt được.</w:t>
      </w:r>
    </w:p>
    <w:p w:rsidR="00D035F5" w:rsidRPr="00D035F5" w:rsidRDefault="00D035F5" w:rsidP="00D035F5">
      <w:pPr>
        <w:spacing w:after="0" w:line="288" w:lineRule="auto"/>
        <w:jc w:val="both"/>
        <w:rPr>
          <w:rFonts w:eastAsia="Times New Roman" w:cs="Times New Roman"/>
          <w:szCs w:val="28"/>
        </w:rPr>
      </w:pPr>
      <w:r w:rsidRPr="00D035F5">
        <w:rPr>
          <w:rFonts w:eastAsia="Times New Roman" w:cs="Times New Roman"/>
          <w:szCs w:val="28"/>
        </w:rPr>
        <w:t>- Đối với CBCCVC được đánh giá là người có phẩm chất, năng lực nổi trội thì phải đáp ứng 3 tiêu chí trên, đồng thời phải bảo đảm tiêu chí đánh giá về đổi mới, sáng tạo, dám nghĩ, dám làm, dám chịu trách nhiệm vì lợi ích chung và có thành tích tiêu biểu, nổi trội, mang lại lợi ích cho cơ quan, tổ chức, đơn vị.</w:t>
      </w:r>
    </w:p>
    <w:bookmarkEnd w:id="0"/>
    <w:p w:rsidR="00C84DCB" w:rsidRPr="00D035F5" w:rsidRDefault="00C84DCB" w:rsidP="00D035F5">
      <w:pPr>
        <w:spacing w:after="0" w:line="288" w:lineRule="auto"/>
        <w:jc w:val="both"/>
        <w:rPr>
          <w:szCs w:val="28"/>
        </w:rPr>
      </w:pPr>
    </w:p>
    <w:sectPr w:rsidR="00C84DCB" w:rsidRPr="00D035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DF004B"/>
    <w:multiLevelType w:val="multilevel"/>
    <w:tmpl w:val="C332D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5F5"/>
    <w:rsid w:val="00C84DCB"/>
    <w:rsid w:val="00D035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35F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035F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F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035F5"/>
    <w:rPr>
      <w:rFonts w:eastAsia="Times New Roman" w:cs="Times New Roman"/>
      <w:b/>
      <w:bCs/>
      <w:sz w:val="36"/>
      <w:szCs w:val="36"/>
    </w:rPr>
  </w:style>
  <w:style w:type="character" w:styleId="Strong">
    <w:name w:val="Strong"/>
    <w:basedOn w:val="DefaultParagraphFont"/>
    <w:uiPriority w:val="22"/>
    <w:qFormat/>
    <w:rsid w:val="00D035F5"/>
    <w:rPr>
      <w:b/>
      <w:bCs/>
    </w:rPr>
  </w:style>
  <w:style w:type="character" w:styleId="Hyperlink">
    <w:name w:val="Hyperlink"/>
    <w:basedOn w:val="DefaultParagraphFont"/>
    <w:uiPriority w:val="99"/>
    <w:semiHidden/>
    <w:unhideWhenUsed/>
    <w:rsid w:val="00D035F5"/>
    <w:rPr>
      <w:color w:val="0000FF"/>
      <w:u w:val="single"/>
    </w:rPr>
  </w:style>
  <w:style w:type="paragraph" w:styleId="NormalWeb">
    <w:name w:val="Normal (Web)"/>
    <w:basedOn w:val="Normal"/>
    <w:uiPriority w:val="99"/>
    <w:semiHidden/>
    <w:unhideWhenUsed/>
    <w:rsid w:val="00D035F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035F5"/>
    <w:rPr>
      <w:i/>
      <w:iCs/>
    </w:rPr>
  </w:style>
  <w:style w:type="paragraph" w:styleId="BalloonText">
    <w:name w:val="Balloon Text"/>
    <w:basedOn w:val="Normal"/>
    <w:link w:val="BalloonTextChar"/>
    <w:uiPriority w:val="99"/>
    <w:semiHidden/>
    <w:unhideWhenUsed/>
    <w:rsid w:val="00D03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5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035F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link w:val="Heading2Char"/>
    <w:uiPriority w:val="9"/>
    <w:qFormat/>
    <w:rsid w:val="00D035F5"/>
    <w:pPr>
      <w:spacing w:before="100" w:beforeAutospacing="1" w:after="100" w:afterAutospacing="1" w:line="240" w:lineRule="auto"/>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5F5"/>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D035F5"/>
    <w:rPr>
      <w:rFonts w:eastAsia="Times New Roman" w:cs="Times New Roman"/>
      <w:b/>
      <w:bCs/>
      <w:sz w:val="36"/>
      <w:szCs w:val="36"/>
    </w:rPr>
  </w:style>
  <w:style w:type="character" w:styleId="Strong">
    <w:name w:val="Strong"/>
    <w:basedOn w:val="DefaultParagraphFont"/>
    <w:uiPriority w:val="22"/>
    <w:qFormat/>
    <w:rsid w:val="00D035F5"/>
    <w:rPr>
      <w:b/>
      <w:bCs/>
    </w:rPr>
  </w:style>
  <w:style w:type="character" w:styleId="Hyperlink">
    <w:name w:val="Hyperlink"/>
    <w:basedOn w:val="DefaultParagraphFont"/>
    <w:uiPriority w:val="99"/>
    <w:semiHidden/>
    <w:unhideWhenUsed/>
    <w:rsid w:val="00D035F5"/>
    <w:rPr>
      <w:color w:val="0000FF"/>
      <w:u w:val="single"/>
    </w:rPr>
  </w:style>
  <w:style w:type="paragraph" w:styleId="NormalWeb">
    <w:name w:val="Normal (Web)"/>
    <w:basedOn w:val="Normal"/>
    <w:uiPriority w:val="99"/>
    <w:semiHidden/>
    <w:unhideWhenUsed/>
    <w:rsid w:val="00D035F5"/>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D035F5"/>
    <w:rPr>
      <w:i/>
      <w:iCs/>
    </w:rPr>
  </w:style>
  <w:style w:type="paragraph" w:styleId="BalloonText">
    <w:name w:val="Balloon Text"/>
    <w:basedOn w:val="Normal"/>
    <w:link w:val="BalloonTextChar"/>
    <w:uiPriority w:val="99"/>
    <w:semiHidden/>
    <w:unhideWhenUsed/>
    <w:rsid w:val="00D035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5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9501807">
      <w:bodyDiv w:val="1"/>
      <w:marLeft w:val="0"/>
      <w:marRight w:val="0"/>
      <w:marTop w:val="0"/>
      <w:marBottom w:val="0"/>
      <w:divBdr>
        <w:top w:val="none" w:sz="0" w:space="0" w:color="auto"/>
        <w:left w:val="none" w:sz="0" w:space="0" w:color="auto"/>
        <w:bottom w:val="none" w:sz="0" w:space="0" w:color="auto"/>
        <w:right w:val="none" w:sz="0" w:space="0" w:color="auto"/>
      </w:divBdr>
      <w:divsChild>
        <w:div w:id="642004491">
          <w:marLeft w:val="0"/>
          <w:marRight w:val="0"/>
          <w:marTop w:val="0"/>
          <w:marBottom w:val="225"/>
          <w:divBdr>
            <w:top w:val="none" w:sz="0" w:space="0" w:color="auto"/>
            <w:left w:val="none" w:sz="0" w:space="0" w:color="auto"/>
            <w:bottom w:val="none" w:sz="0" w:space="0" w:color="auto"/>
            <w:right w:val="none" w:sz="0" w:space="0" w:color="auto"/>
          </w:divBdr>
          <w:divsChild>
            <w:div w:id="472062025">
              <w:marLeft w:val="0"/>
              <w:marRight w:val="0"/>
              <w:marTop w:val="0"/>
              <w:marBottom w:val="0"/>
              <w:divBdr>
                <w:top w:val="none" w:sz="0" w:space="0" w:color="auto"/>
                <w:left w:val="none" w:sz="0" w:space="0" w:color="auto"/>
                <w:bottom w:val="none" w:sz="0" w:space="0" w:color="auto"/>
                <w:right w:val="none" w:sz="0" w:space="0" w:color="auto"/>
              </w:divBdr>
              <w:divsChild>
                <w:div w:id="394160609">
                  <w:marLeft w:val="0"/>
                  <w:marRight w:val="0"/>
                  <w:marTop w:val="0"/>
                  <w:marBottom w:val="0"/>
                  <w:divBdr>
                    <w:top w:val="none" w:sz="0" w:space="0" w:color="auto"/>
                    <w:left w:val="none" w:sz="0" w:space="0" w:color="auto"/>
                    <w:bottom w:val="none" w:sz="0" w:space="0" w:color="auto"/>
                    <w:right w:val="none" w:sz="0" w:space="0" w:color="auto"/>
                  </w:divBdr>
                  <w:divsChild>
                    <w:div w:id="1889679501">
                      <w:marLeft w:val="0"/>
                      <w:marRight w:val="0"/>
                      <w:marTop w:val="0"/>
                      <w:marBottom w:val="0"/>
                      <w:divBdr>
                        <w:top w:val="none" w:sz="0" w:space="0" w:color="auto"/>
                        <w:left w:val="none" w:sz="0" w:space="0" w:color="auto"/>
                        <w:bottom w:val="none" w:sz="0" w:space="0" w:color="auto"/>
                        <w:right w:val="none" w:sz="0" w:space="0" w:color="auto"/>
                      </w:divBdr>
                    </w:div>
                  </w:divsChild>
                </w:div>
                <w:div w:id="604771894">
                  <w:marLeft w:val="0"/>
                  <w:marRight w:val="0"/>
                  <w:marTop w:val="0"/>
                  <w:marBottom w:val="0"/>
                  <w:divBdr>
                    <w:top w:val="none" w:sz="0" w:space="0" w:color="auto"/>
                    <w:left w:val="none" w:sz="0" w:space="0" w:color="auto"/>
                    <w:bottom w:val="none" w:sz="0" w:space="0" w:color="auto"/>
                    <w:right w:val="none" w:sz="0" w:space="0" w:color="auto"/>
                  </w:divBdr>
                  <w:divsChild>
                    <w:div w:id="90815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Lao-dong-Tien-luong/Nghi-dinh-135-2020-ND-CP-tuoi-nghi-huu-445512.aspx?anchor=loai_1" TargetMode="External"/><Relationship Id="rId13" Type="http://schemas.openxmlformats.org/officeDocument/2006/relationships/hyperlink" Target="https://thuvienphapluat.vn/van-ban/Bo-may-hanh-chinh/Nghi-dinh-178-2024-ND-CP-chinh-sach-che-do-can-bo-cong-vien-chuc-thuc-hien-sap-xep-bo-may-chinh-tri-638054.aspx?anchor=dieu_7" TargetMode="External"/><Relationship Id="rId18"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customXml" Target="../customXml/item2.xml"/><Relationship Id="rId7" Type="http://schemas.openxmlformats.org/officeDocument/2006/relationships/hyperlink" Target="https://thuvienphapluat.vn/van-ban/Lao-dong-Tien-luong/Nghi-dinh-135-2020-ND-CP-tuoi-nghi-huu-445512.aspx?anchor=loai_1" TargetMode="External"/><Relationship Id="rId12" Type="http://schemas.openxmlformats.org/officeDocument/2006/relationships/hyperlink" Target="https://thuvienphapluat.vn/van-ban/Bo-may-hanh-chinh/Nghi-dinh-178-2024-ND-CP-chinh-sach-che-do-can-bo-cong-vien-chuc-thuc-hien-sap-xep-bo-may-chinh-tri-638054.aspx?anchor=dieu_7" TargetMode="External"/><Relationship Id="rId17" Type="http://schemas.openxmlformats.org/officeDocument/2006/relationships/hyperlink" Target="https://thuvienphapluat.vn/van-ban/Bo-may-hanh-chinh/Nghi-dinh-178-2024-ND-CP-chinh-sach-che-do-can-bo-cong-vien-chuc-thuc-hien-sap-xep-bo-may-chinh-tri-638054.aspx?anchor=dieu_6" TargetMode="External"/><Relationship Id="rId2" Type="http://schemas.openxmlformats.org/officeDocument/2006/relationships/styles" Target="styles.xml"/><Relationship Id="rId16" Type="http://schemas.openxmlformats.org/officeDocument/2006/relationships/hyperlink" Target="https://thuvienphapluat.vn/van-ban/Lao-dong-Tien-luong/Thong-tu-1-2025-TT-BNV-huong-dan-che-do-doi-voi-can-bo-trong-thuc-hien-sap-xep-to-chuc-bo-may-640187.aspx?anchor=dieu_4"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hyperlink" Target="https://thuvienphapluat.vn/van-ban/Bo-may-hanh-chinh/Nghi-dinh-178-2024-ND-CP-chinh-sach-che-do-can-bo-cong-vien-chuc-thuc-hien-sap-xep-bo-may-chinh-tri-638054.aspx?anchor=dieu_7" TargetMode="External"/><Relationship Id="rId11" Type="http://schemas.openxmlformats.org/officeDocument/2006/relationships/hyperlink" Target="https://thuvienphapluat.vn/van-ban/Bo-may-hanh-chinh/Nghi-dinh-178-2024-ND-CP-chinh-sach-che-do-can-bo-cong-vien-chuc-thuc-hien-sap-xep-bo-may-chinh-tri-638054.aspx?anchor=dieu_7" TargetMode="External"/><Relationship Id="rId5" Type="http://schemas.openxmlformats.org/officeDocument/2006/relationships/webSettings" Target="webSettings.xml"/><Relationship Id="rId15" Type="http://schemas.openxmlformats.org/officeDocument/2006/relationships/hyperlink" Target="https://thuvienphapluat.vn/van-ban/Bo-may-hanh-chinh/Nghi-dinh-178-2024-ND-CP-chinh-sach-che-do-can-bo-cong-vien-chuc-thuc-hien-sap-xep-bo-may-chinh-tri-638054.aspx?anchor=dieu_7" TargetMode="External"/><Relationship Id="rId10" Type="http://schemas.openxmlformats.org/officeDocument/2006/relationships/hyperlink" Target="https://thuvienphapluat.vn/van-ban/Lao-dong-Tien-luong/Thong-tu-1-2025-TT-BNV-huong-dan-che-do-doi-voi-can-bo-trong-thuc-hien-sap-xep-to-chuc-bo-may-640187.aspx?anchor=dieu_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thuvienphapluat.vn/van-ban/Lao-dong-Tien-luong/Nghi-dinh-135-2020-ND-CP-tuoi-nghi-huu-445512.aspx?anchor=loai_1" TargetMode="External"/><Relationship Id="rId14" Type="http://schemas.openxmlformats.org/officeDocument/2006/relationships/hyperlink" Target="https://thuvienphapluat.vn/van-ban/Bo-may-hanh-chinh/Nghi-dinh-178-2024-ND-CP-chinh-sach-che-do-can-bo-cong-vien-chuc-thuc-hien-sap-xep-bo-may-chinh-tri-638054.aspx?anchor=dieu_7"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B75D9A-72C5-4053-8887-135601A0F54A}"/>
</file>

<file path=customXml/itemProps2.xml><?xml version="1.0" encoding="utf-8"?>
<ds:datastoreItem xmlns:ds="http://schemas.openxmlformats.org/officeDocument/2006/customXml" ds:itemID="{A64B813A-5415-4F49-A1D2-5136DB79823F}"/>
</file>

<file path=customXml/itemProps3.xml><?xml version="1.0" encoding="utf-8"?>
<ds:datastoreItem xmlns:ds="http://schemas.openxmlformats.org/officeDocument/2006/customXml" ds:itemID="{3F536DBD-E9EE-4CED-A3D5-9C539780B7A9}"/>
</file>

<file path=docProps/app.xml><?xml version="1.0" encoding="utf-8"?>
<Properties xmlns="http://schemas.openxmlformats.org/officeDocument/2006/extended-properties" xmlns:vt="http://schemas.openxmlformats.org/officeDocument/2006/docPropsVTypes">
  <Template>Normal</Template>
  <TotalTime>1</TotalTime>
  <Pages>3</Pages>
  <Words>1191</Words>
  <Characters>6789</Characters>
  <Application>Microsoft Office Word</Application>
  <DocSecurity>0</DocSecurity>
  <Lines>56</Lines>
  <Paragraphs>15</Paragraphs>
  <ScaleCrop>false</ScaleCrop>
  <Company/>
  <LinksUpToDate>false</LinksUpToDate>
  <CharactersWithSpaces>7965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2025-02-13T07:28:00Z</dcterms:created>
  <dcterms:modified xsi:type="dcterms:W3CDTF">2025-02-13T07:29:00Z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